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080" w:rsidRPr="00C92C52" w:rsidRDefault="001E1F19" w:rsidP="0061474A">
      <w:pPr>
        <w:tabs>
          <w:tab w:val="left" w:pos="3969"/>
          <w:tab w:val="left" w:pos="6521"/>
        </w:tabs>
        <w:rPr>
          <w:b/>
          <w:sz w:val="20"/>
          <w:szCs w:val="20"/>
        </w:rPr>
      </w:pPr>
      <w:r>
        <w:rPr>
          <w:noProof/>
        </w:rPr>
        <w:drawing>
          <wp:anchor distT="0" distB="0" distL="114300" distR="114300" simplePos="0" relativeHeight="251658240" behindDoc="1" locked="0" layoutInCell="1" allowOverlap="1">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A07B4F" w:rsidP="006F4E24">
      <w:pPr>
        <w:spacing w:before="40"/>
        <w:ind w:left="709"/>
        <w:jc w:val="both"/>
        <w:rPr>
          <w:sz w:val="22"/>
          <w:szCs w:val="22"/>
        </w:rPr>
      </w:pPr>
      <w:r>
        <w:rPr>
          <w:b/>
          <w:noProof/>
          <w:sz w:val="22"/>
          <w:szCs w:val="22"/>
        </w:rPr>
        <w:pict>
          <v:rect id="Rectangle 2" o:spid="_x0000_s1026" style="position:absolute;left:0;text-align:left;margin-left:-70.05pt;margin-top:208.9pt;width:271.25pt;height:28.25pt;rotation:-90;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A07B4F" w:rsidRDefault="00A03BD9" w:rsidP="00A07B4F">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A07B4F">
        <w:rPr>
          <w:sz w:val="22"/>
          <w:szCs w:val="22"/>
        </w:rPr>
        <w:t>Ing. Aleš Čermák, PhD. MBA, ředitel</w:t>
      </w:r>
    </w:p>
    <w:p w:rsidR="007A6B6B" w:rsidRDefault="007A6B6B" w:rsidP="00A07B4F">
      <w:pPr>
        <w:tabs>
          <w:tab w:val="left" w:pos="2835"/>
        </w:tabs>
        <w:spacing w:before="40"/>
        <w:ind w:left="709"/>
        <w:jc w:val="both"/>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C50F8A">
      <w:pPr>
        <w:pStyle w:val="Zkladntext"/>
        <w:spacing w:after="120"/>
        <w:ind w:left="709"/>
        <w:rPr>
          <w:sz w:val="22"/>
          <w:szCs w:val="22"/>
        </w:rPr>
      </w:pPr>
      <w:r>
        <w:rPr>
          <w:sz w:val="22"/>
          <w:szCs w:val="22"/>
        </w:rPr>
        <w:t>a</w:t>
      </w:r>
    </w:p>
    <w:p w:rsidR="004F711B" w:rsidRPr="004814D9" w:rsidRDefault="004F711B" w:rsidP="004F711B">
      <w:pPr>
        <w:tabs>
          <w:tab w:val="left" w:pos="5670"/>
        </w:tabs>
        <w:ind w:left="709"/>
        <w:rPr>
          <w:b/>
          <w:sz w:val="22"/>
          <w:szCs w:val="22"/>
        </w:rPr>
      </w:pPr>
      <w:r w:rsidRPr="004814D9">
        <w:rPr>
          <w:sz w:val="22"/>
          <w:szCs w:val="22"/>
          <w:highlight w:val="green"/>
        </w:rPr>
        <w:t>bude doplněno</w:t>
      </w:r>
      <w:r w:rsidRPr="004814D9">
        <w:rPr>
          <w:b/>
          <w:sz w:val="22"/>
          <w:szCs w:val="22"/>
          <w:highlight w:val="green"/>
        </w:rPr>
        <w:t xml:space="preserve"> [NÁZEV PRÁVNICKÉ OSOBY]</w:t>
      </w:r>
    </w:p>
    <w:p w:rsidR="004F711B" w:rsidRPr="004814D9" w:rsidRDefault="004F711B" w:rsidP="004F711B">
      <w:pPr>
        <w:tabs>
          <w:tab w:val="left" w:pos="5670"/>
        </w:tabs>
        <w:ind w:left="709"/>
        <w:rPr>
          <w:sz w:val="22"/>
          <w:szCs w:val="22"/>
        </w:rPr>
      </w:pPr>
      <w:r w:rsidRPr="004814D9">
        <w:rPr>
          <w:sz w:val="22"/>
          <w:szCs w:val="22"/>
        </w:rPr>
        <w:t xml:space="preserve">vlastnický </w:t>
      </w:r>
      <w:proofErr w:type="gramStart"/>
      <w:r w:rsidRPr="004814D9">
        <w:rPr>
          <w:sz w:val="22"/>
          <w:szCs w:val="22"/>
        </w:rPr>
        <w:t xml:space="preserve">podíl:            </w:t>
      </w:r>
      <w:r w:rsidRPr="004814D9">
        <w:rPr>
          <w:sz w:val="22"/>
          <w:szCs w:val="22"/>
          <w:highlight w:val="green"/>
        </w:rPr>
        <w:t>bude</w:t>
      </w:r>
      <w:proofErr w:type="gramEnd"/>
      <w:r w:rsidRPr="004814D9">
        <w:rPr>
          <w:sz w:val="22"/>
          <w:szCs w:val="22"/>
          <w:highlight w:val="green"/>
        </w:rPr>
        <w:t xml:space="preserve"> doplněno</w:t>
      </w:r>
    </w:p>
    <w:p w:rsidR="004F711B" w:rsidRPr="004814D9" w:rsidRDefault="004F711B" w:rsidP="004F711B">
      <w:pPr>
        <w:ind w:left="709"/>
        <w:rPr>
          <w:sz w:val="22"/>
          <w:szCs w:val="22"/>
        </w:rPr>
      </w:pPr>
      <w:r w:rsidRPr="004814D9">
        <w:rPr>
          <w:sz w:val="22"/>
          <w:szCs w:val="22"/>
        </w:rPr>
        <w:t>se sídlem:</w:t>
      </w:r>
      <w:r w:rsidRPr="004814D9">
        <w:rPr>
          <w:sz w:val="22"/>
          <w:szCs w:val="22"/>
        </w:rPr>
        <w:tab/>
      </w:r>
      <w:r w:rsidRPr="004814D9">
        <w:rPr>
          <w:sz w:val="22"/>
          <w:szCs w:val="22"/>
        </w:rPr>
        <w:tab/>
      </w:r>
      <w:r w:rsidRPr="004814D9">
        <w:rPr>
          <w:sz w:val="22"/>
          <w:szCs w:val="22"/>
          <w:highlight w:val="green"/>
        </w:rPr>
        <w:t>bude doplněno</w:t>
      </w:r>
    </w:p>
    <w:p w:rsidR="004F711B" w:rsidRPr="004814D9" w:rsidRDefault="004F711B" w:rsidP="004F711B">
      <w:pPr>
        <w:tabs>
          <w:tab w:val="left" w:pos="2835"/>
        </w:tabs>
        <w:spacing w:before="60"/>
        <w:ind w:left="709"/>
        <w:rPr>
          <w:sz w:val="22"/>
          <w:szCs w:val="22"/>
        </w:rPr>
      </w:pPr>
      <w:r w:rsidRPr="004814D9">
        <w:rPr>
          <w:sz w:val="22"/>
          <w:szCs w:val="22"/>
        </w:rPr>
        <w:t>IČO:</w:t>
      </w:r>
      <w:r w:rsidRPr="004814D9">
        <w:rPr>
          <w:sz w:val="22"/>
          <w:szCs w:val="22"/>
        </w:rPr>
        <w:tab/>
      </w:r>
      <w:r w:rsidRPr="004814D9">
        <w:rPr>
          <w:sz w:val="22"/>
          <w:szCs w:val="22"/>
          <w:highlight w:val="green"/>
        </w:rPr>
        <w:t>bude doplněno</w:t>
      </w:r>
    </w:p>
    <w:p w:rsidR="004F711B" w:rsidRPr="004814D9" w:rsidRDefault="004F711B" w:rsidP="004F711B">
      <w:pPr>
        <w:tabs>
          <w:tab w:val="left" w:pos="2835"/>
        </w:tabs>
        <w:spacing w:before="60"/>
        <w:ind w:left="709"/>
        <w:rPr>
          <w:sz w:val="22"/>
          <w:szCs w:val="22"/>
        </w:rPr>
      </w:pPr>
      <w:r w:rsidRPr="004814D9">
        <w:rPr>
          <w:sz w:val="22"/>
          <w:szCs w:val="22"/>
        </w:rPr>
        <w:t>DIČ:</w:t>
      </w:r>
      <w:r w:rsidRPr="004814D9">
        <w:rPr>
          <w:sz w:val="22"/>
          <w:szCs w:val="22"/>
        </w:rPr>
        <w:tab/>
      </w:r>
      <w:r w:rsidRPr="004814D9">
        <w:rPr>
          <w:sz w:val="22"/>
          <w:szCs w:val="22"/>
          <w:highlight w:val="green"/>
        </w:rPr>
        <w:t>bude doplněno</w:t>
      </w:r>
    </w:p>
    <w:p w:rsidR="004F711B" w:rsidRPr="004814D9" w:rsidRDefault="004F711B" w:rsidP="004F711B">
      <w:pPr>
        <w:tabs>
          <w:tab w:val="left" w:pos="2835"/>
        </w:tabs>
        <w:spacing w:before="60"/>
        <w:ind w:left="709"/>
        <w:rPr>
          <w:sz w:val="22"/>
          <w:szCs w:val="22"/>
        </w:rPr>
      </w:pPr>
      <w:r w:rsidRPr="004814D9">
        <w:rPr>
          <w:sz w:val="22"/>
          <w:szCs w:val="22"/>
        </w:rPr>
        <w:t xml:space="preserve">zapsaná v obchodním rejstříku vedeném </w:t>
      </w:r>
      <w:proofErr w:type="gramStart"/>
      <w:r w:rsidRPr="004814D9">
        <w:rPr>
          <w:sz w:val="22"/>
          <w:szCs w:val="22"/>
          <w:highlight w:val="green"/>
        </w:rPr>
        <w:t>bude</w:t>
      </w:r>
      <w:proofErr w:type="gramEnd"/>
      <w:r w:rsidRPr="004814D9">
        <w:rPr>
          <w:sz w:val="22"/>
          <w:szCs w:val="22"/>
          <w:highlight w:val="green"/>
        </w:rPr>
        <w:t xml:space="preserve"> doplněno</w:t>
      </w:r>
      <w:r w:rsidRPr="004814D9">
        <w:rPr>
          <w:sz w:val="22"/>
          <w:szCs w:val="22"/>
        </w:rPr>
        <w:t xml:space="preserve"> soudem v </w:t>
      </w:r>
      <w:proofErr w:type="gramStart"/>
      <w:r w:rsidRPr="004814D9">
        <w:rPr>
          <w:sz w:val="22"/>
          <w:szCs w:val="22"/>
          <w:highlight w:val="green"/>
        </w:rPr>
        <w:t>bude</w:t>
      </w:r>
      <w:proofErr w:type="gramEnd"/>
      <w:r w:rsidRPr="004814D9">
        <w:rPr>
          <w:sz w:val="22"/>
          <w:szCs w:val="22"/>
          <w:highlight w:val="green"/>
        </w:rPr>
        <w:t xml:space="preserve"> doplněno</w:t>
      </w:r>
      <w:r w:rsidRPr="004814D9">
        <w:rPr>
          <w:sz w:val="22"/>
          <w:szCs w:val="22"/>
        </w:rPr>
        <w:t xml:space="preserve">, oddíl </w:t>
      </w:r>
      <w:r w:rsidRPr="004814D9">
        <w:rPr>
          <w:sz w:val="22"/>
          <w:szCs w:val="22"/>
          <w:highlight w:val="green"/>
        </w:rPr>
        <w:t>bude doplněno</w:t>
      </w:r>
      <w:r w:rsidRPr="004814D9">
        <w:rPr>
          <w:sz w:val="22"/>
          <w:szCs w:val="22"/>
        </w:rPr>
        <w:t xml:space="preserve">, vložka </w:t>
      </w:r>
      <w:r w:rsidRPr="004814D9">
        <w:rPr>
          <w:sz w:val="22"/>
          <w:szCs w:val="22"/>
          <w:highlight w:val="green"/>
        </w:rPr>
        <w:t>bude doplněno</w:t>
      </w:r>
    </w:p>
    <w:p w:rsidR="004F711B" w:rsidRPr="004814D9" w:rsidRDefault="004F711B" w:rsidP="004F711B">
      <w:pPr>
        <w:tabs>
          <w:tab w:val="left" w:pos="2835"/>
        </w:tabs>
        <w:spacing w:before="60"/>
        <w:ind w:left="709"/>
        <w:rPr>
          <w:sz w:val="22"/>
          <w:szCs w:val="22"/>
        </w:rPr>
      </w:pPr>
      <w:r w:rsidRPr="004814D9">
        <w:rPr>
          <w:sz w:val="22"/>
          <w:szCs w:val="22"/>
        </w:rPr>
        <w:t>za kterou jedná:</w:t>
      </w:r>
      <w:r w:rsidRPr="004814D9">
        <w:rPr>
          <w:sz w:val="22"/>
          <w:szCs w:val="22"/>
        </w:rPr>
        <w:tab/>
      </w:r>
      <w:r w:rsidRPr="004814D9">
        <w:rPr>
          <w:sz w:val="22"/>
          <w:szCs w:val="22"/>
          <w:highlight w:val="green"/>
        </w:rPr>
        <w:t>bude doplněno</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5C362C">
      <w:pPr>
        <w:pStyle w:val="Zkladntext"/>
        <w:spacing w:before="0"/>
        <w:jc w:val="center"/>
        <w:rPr>
          <w:b/>
          <w:sz w:val="22"/>
          <w:szCs w:val="22"/>
        </w:rPr>
      </w:pPr>
      <w:r w:rsidRPr="000B3FAB">
        <w:rPr>
          <w:b/>
          <w:sz w:val="22"/>
          <w:szCs w:val="22"/>
        </w:rPr>
        <w:t>I.</w:t>
      </w:r>
    </w:p>
    <w:p w:rsidR="00A03BD9" w:rsidRPr="00AF1EF7" w:rsidRDefault="00DD5A23" w:rsidP="005C362C">
      <w:pPr>
        <w:spacing w:before="60"/>
        <w:ind w:firstLine="709"/>
        <w:jc w:val="both"/>
        <w:rPr>
          <w:snapToGrid w:val="0"/>
          <w:sz w:val="22"/>
          <w:szCs w:val="22"/>
        </w:rPr>
      </w:pPr>
      <w:r w:rsidRPr="000B3FAB">
        <w:rPr>
          <w:b/>
          <w:sz w:val="22"/>
          <w:szCs w:val="22"/>
        </w:rPr>
        <w:t xml:space="preserve">Vlastník je </w:t>
      </w:r>
      <w:r w:rsidR="000A356F">
        <w:rPr>
          <w:b/>
          <w:sz w:val="22"/>
          <w:szCs w:val="22"/>
        </w:rPr>
        <w:t>podílovým</w:t>
      </w:r>
      <w:r>
        <w:rPr>
          <w:b/>
          <w:sz w:val="22"/>
          <w:szCs w:val="22"/>
        </w:rPr>
        <w:t xml:space="preserve"> </w:t>
      </w:r>
      <w:r w:rsidR="000A356F">
        <w:rPr>
          <w:b/>
          <w:sz w:val="22"/>
          <w:szCs w:val="22"/>
        </w:rPr>
        <w:t>spolu</w:t>
      </w:r>
      <w:r>
        <w:rPr>
          <w:b/>
          <w:sz w:val="22"/>
          <w:szCs w:val="22"/>
        </w:rPr>
        <w:t>vlastníkem</w:t>
      </w:r>
      <w:r w:rsidRPr="006715A3">
        <w:rPr>
          <w:b/>
          <w:color w:val="000000"/>
          <w:sz w:val="22"/>
          <w:szCs w:val="22"/>
        </w:rPr>
        <w:t xml:space="preserve"> </w:t>
      </w:r>
      <w:r w:rsidR="000A356F">
        <w:rPr>
          <w:b/>
          <w:color w:val="000000"/>
          <w:sz w:val="22"/>
          <w:szCs w:val="22"/>
        </w:rPr>
        <w:t xml:space="preserve">id. </w:t>
      </w:r>
      <w:r w:rsidR="00113EEF" w:rsidRPr="00113EEF">
        <w:rPr>
          <w:sz w:val="22"/>
          <w:szCs w:val="22"/>
          <w:highlight w:val="green"/>
        </w:rPr>
        <w:t>bude doplněno</w:t>
      </w:r>
      <w:r w:rsidR="000A356F">
        <w:rPr>
          <w:b/>
          <w:color w:val="000000"/>
          <w:sz w:val="22"/>
          <w:szCs w:val="22"/>
        </w:rPr>
        <w:t xml:space="preserve"> </w:t>
      </w:r>
      <w:r w:rsidRPr="00170BAE">
        <w:rPr>
          <w:color w:val="000000"/>
          <w:sz w:val="22"/>
          <w:szCs w:val="22"/>
          <w:highlight w:val="yellow"/>
        </w:rPr>
        <w:t xml:space="preserve">pozemkové parcely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pro obec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ED6513" w:rsidRDefault="00DD5A23" w:rsidP="005C362C">
      <w:pPr>
        <w:spacing w:before="120"/>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w:t>
      </w:r>
      <w:r w:rsidRPr="00DB374D">
        <w:rPr>
          <w:sz w:val="22"/>
          <w:szCs w:val="22"/>
          <w:highlight w:val="yellow"/>
        </w:rPr>
        <w:t>nachází</w:t>
      </w:r>
      <w:r w:rsidRPr="0075077E">
        <w:rPr>
          <w:sz w:val="22"/>
          <w:szCs w:val="22"/>
        </w:rPr>
        <w:t xml:space="preserve">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4F711B" w:rsidRPr="0075077E" w:rsidRDefault="004F711B" w:rsidP="005C362C">
      <w:pPr>
        <w:spacing w:before="120"/>
        <w:ind w:firstLine="709"/>
        <w:jc w:val="both"/>
        <w:rPr>
          <w:sz w:val="22"/>
          <w:szCs w:val="22"/>
        </w:rPr>
      </w:pPr>
    </w:p>
    <w:p w:rsidR="00ED6513" w:rsidRPr="00FA3BFE" w:rsidRDefault="00DD5A23" w:rsidP="005C362C">
      <w:pPr>
        <w:spacing w:before="120"/>
        <w:jc w:val="center"/>
        <w:rPr>
          <w:snapToGrid w:val="0"/>
          <w:sz w:val="22"/>
          <w:szCs w:val="22"/>
        </w:rPr>
      </w:pPr>
      <w:r w:rsidRPr="0075077E">
        <w:rPr>
          <w:b/>
          <w:snapToGrid w:val="0"/>
          <w:sz w:val="22"/>
          <w:szCs w:val="22"/>
        </w:rPr>
        <w:t>II.</w:t>
      </w:r>
    </w:p>
    <w:p w:rsidR="00A21892" w:rsidRPr="0075077E" w:rsidRDefault="00DD5A23" w:rsidP="005C362C">
      <w:pPr>
        <w:spacing w:before="60"/>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Pr>
          <w:sz w:val="22"/>
          <w:szCs w:val="22"/>
        </w:rPr>
        <w:t xml:space="preserve"> </w:t>
      </w:r>
      <w:r w:rsidRPr="004A4355">
        <w:rPr>
          <w:snapToGrid w:val="0"/>
          <w:sz w:val="22"/>
          <w:szCs w:val="22"/>
        </w:rPr>
        <w:t xml:space="preserve">ze dne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ED6513" w:rsidRDefault="00DD5A23" w:rsidP="005C362C">
      <w:pPr>
        <w:spacing w:before="120"/>
        <w:ind w:firstLine="709"/>
        <w:jc w:val="both"/>
        <w:rPr>
          <w:snapToGrid w:val="0"/>
          <w:sz w:val="22"/>
          <w:szCs w:val="22"/>
        </w:rPr>
      </w:pPr>
      <w:r w:rsidRPr="00EB0582">
        <w:rPr>
          <w:snapToGrid w:val="0"/>
          <w:sz w:val="22"/>
          <w:szCs w:val="22"/>
        </w:rPr>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4F711B" w:rsidRPr="0075077E" w:rsidRDefault="004F711B" w:rsidP="005C362C">
      <w:pPr>
        <w:spacing w:before="120"/>
        <w:ind w:firstLine="709"/>
        <w:jc w:val="both"/>
        <w:rPr>
          <w:snapToGrid w:val="0"/>
          <w:sz w:val="22"/>
          <w:szCs w:val="22"/>
        </w:rPr>
      </w:pPr>
    </w:p>
    <w:p w:rsidR="00ED6513" w:rsidRPr="0075077E" w:rsidRDefault="00DD5A23" w:rsidP="005C362C">
      <w:pPr>
        <w:spacing w:before="120"/>
        <w:jc w:val="center"/>
        <w:rPr>
          <w:b/>
          <w:snapToGrid w:val="0"/>
          <w:sz w:val="22"/>
          <w:szCs w:val="22"/>
        </w:rPr>
      </w:pPr>
      <w:r w:rsidRPr="0075077E">
        <w:rPr>
          <w:b/>
          <w:snapToGrid w:val="0"/>
          <w:sz w:val="22"/>
          <w:szCs w:val="22"/>
        </w:rPr>
        <w:lastRenderedPageBreak/>
        <w:t>III.</w:t>
      </w:r>
    </w:p>
    <w:p w:rsidR="00ED6513" w:rsidRDefault="00DD5A23" w:rsidP="005C362C">
      <w:pPr>
        <w:tabs>
          <w:tab w:val="left" w:pos="3544"/>
        </w:tabs>
        <w:spacing w:before="120"/>
        <w:jc w:val="both"/>
        <w:rPr>
          <w:b/>
          <w:i/>
          <w:snapToGrid w:val="0"/>
          <w:sz w:val="22"/>
          <w:szCs w:val="22"/>
        </w:rPr>
      </w:pPr>
      <w:r w:rsidRPr="008F5FFA">
        <w:rPr>
          <w:b/>
          <w:snapToGrid w:val="0"/>
          <w:sz w:val="22"/>
          <w:szCs w:val="22"/>
        </w:rPr>
        <w:t xml:space="preserve">Vlastník finanční </w:t>
      </w:r>
      <w:proofErr w:type="gramStart"/>
      <w:r w:rsidRPr="008F5FFA">
        <w:rPr>
          <w:b/>
          <w:snapToGrid w:val="0"/>
          <w:sz w:val="22"/>
          <w:szCs w:val="22"/>
        </w:rPr>
        <w:t>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proofErr w:type="gramEnd"/>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5C362C">
      <w:pPr>
        <w:spacing w:before="60"/>
        <w:jc w:val="center"/>
        <w:rPr>
          <w:b/>
          <w:snapToGrid w:val="0"/>
          <w:sz w:val="22"/>
          <w:szCs w:val="22"/>
        </w:rPr>
      </w:pPr>
      <w:r w:rsidRPr="00206046">
        <w:rPr>
          <w:snapToGrid w:val="0"/>
          <w:sz w:val="22"/>
          <w:szCs w:val="22"/>
        </w:rPr>
        <w:t>(nehodící se škrtněte)</w:t>
      </w:r>
    </w:p>
    <w:p w:rsidR="00ED6513" w:rsidRPr="007379FF" w:rsidRDefault="00DD5A23" w:rsidP="005C362C">
      <w:pPr>
        <w:spacing w:before="120"/>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A07B4F" w:rsidP="005C362C">
      <w:pPr>
        <w:spacing w:before="120"/>
        <w:jc w:val="center"/>
        <w:rPr>
          <w:b/>
          <w:snapToGrid w:val="0"/>
          <w:sz w:val="22"/>
          <w:szCs w:val="22"/>
        </w:rPr>
      </w:pPr>
    </w:p>
    <w:p w:rsidR="00ED6513" w:rsidRPr="00C92D48" w:rsidRDefault="00DD5A23" w:rsidP="005C362C">
      <w:pPr>
        <w:spacing w:before="120"/>
        <w:jc w:val="center"/>
        <w:rPr>
          <w:b/>
          <w:snapToGrid w:val="0"/>
          <w:sz w:val="22"/>
          <w:szCs w:val="22"/>
        </w:rPr>
      </w:pPr>
      <w:proofErr w:type="spellStart"/>
      <w:r w:rsidRPr="00C92D48">
        <w:rPr>
          <w:b/>
          <w:snapToGrid w:val="0"/>
          <w:sz w:val="22"/>
          <w:szCs w:val="22"/>
        </w:rPr>
        <w:t>IIIa</w:t>
      </w:r>
      <w:proofErr w:type="spellEnd"/>
      <w:r w:rsidRPr="00C92D48">
        <w:rPr>
          <w:b/>
          <w:snapToGrid w:val="0"/>
          <w:sz w:val="22"/>
          <w:szCs w:val="22"/>
        </w:rPr>
        <w:t>.</w:t>
      </w:r>
    </w:p>
    <w:p w:rsidR="00A21892" w:rsidRPr="005C362C" w:rsidRDefault="00DD5A23" w:rsidP="005C362C">
      <w:pPr>
        <w:spacing w:before="120"/>
        <w:ind w:firstLine="709"/>
        <w:jc w:val="both"/>
        <w:rPr>
          <w:snapToGrid w:val="0"/>
          <w:sz w:val="22"/>
          <w:szCs w:val="22"/>
        </w:rPr>
      </w:pPr>
      <w:r w:rsidRPr="00085514">
        <w:rPr>
          <w:snapToGrid w:val="0"/>
          <w:sz w:val="22"/>
          <w:szCs w:val="22"/>
        </w:rPr>
        <w:t>Smluvní strany se dohodly, že vlastník tímto prodává a investor kupuje</w:t>
      </w:r>
      <w:r w:rsidR="000A356F">
        <w:rPr>
          <w:snapToGrid w:val="0"/>
          <w:sz w:val="22"/>
          <w:szCs w:val="22"/>
        </w:rPr>
        <w:t xml:space="preserve"> spoluvlastnický podíl id. </w:t>
      </w:r>
      <w:r w:rsidR="00113EEF" w:rsidRPr="00113EEF">
        <w:rPr>
          <w:sz w:val="22"/>
          <w:szCs w:val="22"/>
          <w:highlight w:val="green"/>
        </w:rPr>
        <w:t>bude doplněno</w:t>
      </w:r>
      <w:r w:rsidR="000A356F">
        <w:rPr>
          <w:snapToGrid w:val="0"/>
          <w:sz w:val="22"/>
          <w:szCs w:val="22"/>
        </w:rPr>
        <w:t xml:space="preserve"> na </w:t>
      </w:r>
      <w:r w:rsidRPr="004159A3">
        <w:rPr>
          <w:snapToGrid w:val="0"/>
          <w:sz w:val="22"/>
          <w:szCs w:val="22"/>
        </w:rPr>
        <w:t>předmětn</w:t>
      </w:r>
      <w:r w:rsidR="000A356F">
        <w:rPr>
          <w:snapToGrid w:val="0"/>
          <w:sz w:val="22"/>
          <w:szCs w:val="22"/>
        </w:rPr>
        <w:t>ých</w:t>
      </w:r>
      <w:r w:rsidRPr="004159A3">
        <w:rPr>
          <w:snapToGrid w:val="0"/>
          <w:sz w:val="22"/>
          <w:szCs w:val="22"/>
        </w:rPr>
        <w:t xml:space="preserve"> porost</w:t>
      </w:r>
      <w:r w:rsidR="000A356F">
        <w:rPr>
          <w:snapToGrid w:val="0"/>
          <w:sz w:val="22"/>
          <w:szCs w:val="22"/>
        </w:rPr>
        <w:t>ech</w:t>
      </w:r>
      <w:r w:rsidRPr="00085514">
        <w:rPr>
          <w:snapToGrid w:val="0"/>
          <w:sz w:val="22"/>
          <w:szCs w:val="22"/>
        </w:rPr>
        <w:t xml:space="preserve"> do vlastnictví Středočeského kraje. Finanční náhrada za předmětné porosty je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991881">
        <w:rPr>
          <w:snapToGrid w:val="0"/>
          <w:sz w:val="22"/>
          <w:szCs w:val="22"/>
        </w:rPr>
        <w:t xml:space="preserve">, </w:t>
      </w:r>
      <w:r w:rsidR="00991881" w:rsidRPr="00991881">
        <w:rPr>
          <w:b/>
          <w:snapToGrid w:val="0"/>
          <w:sz w:val="22"/>
          <w:szCs w:val="22"/>
        </w:rPr>
        <w:t xml:space="preserve">spoluvlastnický podíl ve výši id. </w:t>
      </w:r>
      <w:r w:rsidR="0062681C" w:rsidRPr="00113EEF">
        <w:rPr>
          <w:sz w:val="22"/>
          <w:szCs w:val="22"/>
          <w:highlight w:val="green"/>
        </w:rPr>
        <w:t>bude doplněno</w:t>
      </w:r>
      <w:r w:rsidR="0062681C">
        <w:rPr>
          <w:snapToGrid w:val="0"/>
          <w:sz w:val="22"/>
          <w:szCs w:val="22"/>
        </w:rPr>
        <w:t xml:space="preserve"> </w:t>
      </w:r>
      <w:r w:rsidR="00991881" w:rsidRPr="00991881">
        <w:rPr>
          <w:b/>
          <w:snapToGrid w:val="0"/>
          <w:sz w:val="22"/>
          <w:szCs w:val="22"/>
        </w:rPr>
        <w:t xml:space="preserve">tak </w:t>
      </w:r>
      <w:proofErr w:type="gramStart"/>
      <w:r w:rsidR="00991881" w:rsidRPr="00991881">
        <w:rPr>
          <w:b/>
          <w:snapToGrid w:val="0"/>
          <w:sz w:val="22"/>
          <w:szCs w:val="22"/>
        </w:rPr>
        <w:t xml:space="preserve">činí </w:t>
      </w:r>
      <w:r w:rsidR="00113EEF" w:rsidRPr="00113EEF">
        <w:rPr>
          <w:sz w:val="22"/>
          <w:szCs w:val="22"/>
          <w:highlight w:val="green"/>
        </w:rPr>
        <w:t>bude</w:t>
      </w:r>
      <w:proofErr w:type="gramEnd"/>
      <w:r w:rsidR="00113EEF" w:rsidRPr="00113EEF">
        <w:rPr>
          <w:sz w:val="22"/>
          <w:szCs w:val="22"/>
          <w:highlight w:val="green"/>
        </w:rPr>
        <w:t xml:space="preserve"> doplněno</w:t>
      </w:r>
      <w:r w:rsidR="00991881" w:rsidRPr="00991881">
        <w:rPr>
          <w:b/>
          <w:snapToGrid w:val="0"/>
          <w:sz w:val="22"/>
          <w:szCs w:val="22"/>
        </w:rPr>
        <w:t>,- Kč.</w:t>
      </w:r>
      <w:r w:rsidR="00991881">
        <w:rPr>
          <w:snapToGrid w:val="0"/>
          <w:sz w:val="22"/>
          <w:szCs w:val="22"/>
        </w:rPr>
        <w:t xml:space="preserve"> </w:t>
      </w:r>
    </w:p>
    <w:p w:rsidR="00991881" w:rsidRDefault="00DD5A23" w:rsidP="005C362C">
      <w:pPr>
        <w:spacing w:before="120"/>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w:t>
      </w:r>
      <w:proofErr w:type="gramStart"/>
      <w:r w:rsidRPr="00085514">
        <w:rPr>
          <w:snapToGrid w:val="0"/>
          <w:sz w:val="22"/>
          <w:szCs w:val="22"/>
        </w:rPr>
        <w:t>…..., vedený</w:t>
      </w:r>
      <w:proofErr w:type="gramEnd"/>
      <w:r w:rsidRPr="00085514">
        <w:rPr>
          <w:snapToGrid w:val="0"/>
          <w:sz w:val="22"/>
          <w:szCs w:val="22"/>
        </w:rPr>
        <w:t xml:space="preserve"> u…………………………………</w:t>
      </w:r>
    </w:p>
    <w:p w:rsidR="00991881" w:rsidRDefault="00DD5A23" w:rsidP="005C362C">
      <w:pPr>
        <w:spacing w:before="120"/>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5C362C">
      <w:pPr>
        <w:spacing w:before="120"/>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9D3246" w:rsidP="005C362C">
      <w:pPr>
        <w:spacing w:before="120"/>
        <w:ind w:firstLine="708"/>
        <w:jc w:val="both"/>
        <w:rPr>
          <w:b/>
          <w:snapToGrid w:val="0"/>
          <w:sz w:val="22"/>
          <w:szCs w:val="22"/>
        </w:rPr>
      </w:pPr>
      <w:r>
        <w:rPr>
          <w:snapToGrid w:val="0"/>
          <w:sz w:val="22"/>
          <w:szCs w:val="22"/>
        </w:rPr>
        <w:t xml:space="preserve">Smluvní strany jsou si vědomy, že </w:t>
      </w:r>
      <w:r w:rsidR="00AF6967">
        <w:rPr>
          <w:snapToGrid w:val="0"/>
          <w:sz w:val="22"/>
          <w:szCs w:val="22"/>
        </w:rPr>
        <w:t>předmět dohody je převáděn jako celek, přičemž projevy ostatních spoluvlastníků budou</w:t>
      </w:r>
      <w:r w:rsidR="00AF6967" w:rsidRPr="00AF6967">
        <w:rPr>
          <w:snapToGrid w:val="0"/>
          <w:sz w:val="22"/>
          <w:szCs w:val="22"/>
        </w:rPr>
        <w:t xml:space="preserve"> nebo mohou být na jiných listinách, než na které je uzavírána tato dohoda. S tím smluvní strany výslovně souhlasí.</w:t>
      </w:r>
    </w:p>
    <w:p w:rsidR="00ED6513" w:rsidRPr="00085514" w:rsidRDefault="00DD5A23" w:rsidP="005C362C">
      <w:pPr>
        <w:spacing w:before="240"/>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9D3246" w:rsidRDefault="00DD5A23" w:rsidP="005C362C">
      <w:pPr>
        <w:spacing w:before="60"/>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v rozsahu spoluvlastnického podílu id. </w:t>
      </w:r>
      <w:r w:rsidR="00113EEF" w:rsidRPr="00113EEF">
        <w:rPr>
          <w:sz w:val="22"/>
          <w:szCs w:val="22"/>
          <w:highlight w:val="green"/>
        </w:rPr>
        <w:t>bude doplněno</w:t>
      </w:r>
      <w:r w:rsidRPr="00085514">
        <w:rPr>
          <w:snapToGrid w:val="0"/>
          <w:sz w:val="22"/>
          <w:szCs w:val="22"/>
        </w:rPr>
        <w:t xml:space="preserve"> převzít a odvézt. Neučiní-li tak, je investor oprávněn bez dalšího naložit s předmětnými porosty </w:t>
      </w:r>
      <w:r w:rsidR="00991881">
        <w:rPr>
          <w:snapToGrid w:val="0"/>
          <w:sz w:val="22"/>
          <w:szCs w:val="22"/>
        </w:rPr>
        <w:t xml:space="preserve">v rozsahu spoluvlastnického podílu id. </w:t>
      </w:r>
      <w:r w:rsidR="00113EEF" w:rsidRPr="00113EEF">
        <w:rPr>
          <w:sz w:val="22"/>
          <w:szCs w:val="22"/>
          <w:highlight w:val="green"/>
        </w:rPr>
        <w:t>bude doplněno</w:t>
      </w:r>
      <w:r w:rsidR="00991881">
        <w:rPr>
          <w:snapToGrid w:val="0"/>
          <w:sz w:val="22"/>
          <w:szCs w:val="22"/>
        </w:rPr>
        <w:t xml:space="preserve"> </w:t>
      </w:r>
      <w:r w:rsidRPr="00085514">
        <w:rPr>
          <w:snapToGrid w:val="0"/>
          <w:sz w:val="22"/>
          <w:szCs w:val="22"/>
        </w:rPr>
        <w:t>dle vlastního uvážení, přičemž vlastníkovi nenáleží náhrada a má se za to, že smluvní strany jsou finančně i jinak vyrovnány.</w:t>
      </w:r>
    </w:p>
    <w:p w:rsidR="00ED6513" w:rsidRPr="00085514" w:rsidRDefault="009D3246" w:rsidP="005C362C">
      <w:pPr>
        <w:spacing w:before="120"/>
        <w:jc w:val="both"/>
        <w:rPr>
          <w:b/>
          <w:snapToGrid w:val="0"/>
          <w:sz w:val="22"/>
          <w:szCs w:val="22"/>
        </w:rPr>
      </w:pPr>
      <w:r>
        <w:rPr>
          <w:snapToGrid w:val="0"/>
          <w:sz w:val="22"/>
          <w:szCs w:val="22"/>
        </w:rPr>
        <w:tab/>
        <w:t xml:space="preserve">Smluvní strany jsou si vědomy, že souhlasy ostatních spoluvlastníků ke skácení předmětných trvalých porostů </w:t>
      </w:r>
      <w:r w:rsidRPr="009D3246">
        <w:rPr>
          <w:snapToGrid w:val="0"/>
          <w:sz w:val="22"/>
          <w:szCs w:val="22"/>
        </w:rPr>
        <w:t>budou nebo mohou být na jiných listinách, než na které je uzavírána tato dohoda. S tím smluvní strany výslovně souhlasí.</w:t>
      </w:r>
    </w:p>
    <w:p w:rsidR="00ED6513" w:rsidRPr="00085514" w:rsidRDefault="00DD5A23" w:rsidP="005C362C">
      <w:pPr>
        <w:spacing w:before="240"/>
        <w:jc w:val="center"/>
        <w:rPr>
          <w:b/>
          <w:snapToGrid w:val="0"/>
          <w:sz w:val="22"/>
          <w:szCs w:val="22"/>
        </w:rPr>
      </w:pPr>
      <w:r w:rsidRPr="00085514">
        <w:rPr>
          <w:b/>
          <w:snapToGrid w:val="0"/>
          <w:sz w:val="22"/>
          <w:szCs w:val="22"/>
        </w:rPr>
        <w:t>IV.</w:t>
      </w:r>
    </w:p>
    <w:p w:rsidR="00ED6513" w:rsidRPr="00085514" w:rsidRDefault="00DD5A23" w:rsidP="005C362C">
      <w:pPr>
        <w:spacing w:before="60"/>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Pr="00085514">
        <w:rPr>
          <w:snapToGrid w:val="0"/>
          <w:sz w:val="22"/>
          <w:szCs w:val="22"/>
        </w:rPr>
        <w:t>,</w:t>
      </w:r>
      <w:r w:rsidR="00570251">
        <w:rPr>
          <w:snapToGrid w:val="0"/>
          <w:sz w:val="22"/>
          <w:szCs w:val="22"/>
        </w:rPr>
        <w:t xml:space="preserve"> v rozsahu svých spoluvlastnických práv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A07B4F" w:rsidP="005C362C">
      <w:pPr>
        <w:spacing w:before="120"/>
        <w:jc w:val="center"/>
        <w:rPr>
          <w:b/>
          <w:snapToGrid w:val="0"/>
          <w:sz w:val="22"/>
          <w:szCs w:val="22"/>
        </w:rPr>
      </w:pPr>
    </w:p>
    <w:p w:rsidR="00ED6513" w:rsidRPr="00085514" w:rsidRDefault="00DD5A23" w:rsidP="005C362C">
      <w:pPr>
        <w:jc w:val="center"/>
        <w:rPr>
          <w:b/>
          <w:snapToGrid w:val="0"/>
          <w:sz w:val="22"/>
          <w:szCs w:val="22"/>
        </w:rPr>
      </w:pPr>
      <w:r w:rsidRPr="00085514">
        <w:rPr>
          <w:b/>
          <w:snapToGrid w:val="0"/>
          <w:sz w:val="22"/>
          <w:szCs w:val="22"/>
        </w:rPr>
        <w:lastRenderedPageBreak/>
        <w:t>V.</w:t>
      </w:r>
    </w:p>
    <w:p w:rsidR="00ED6513" w:rsidRPr="005C362C" w:rsidRDefault="00DD5A23" w:rsidP="005C362C">
      <w:pPr>
        <w:spacing w:before="60"/>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ED6513" w:rsidRPr="00085514" w:rsidRDefault="00DD5A23" w:rsidP="005C362C">
      <w:pPr>
        <w:spacing w:before="120"/>
        <w:jc w:val="center"/>
        <w:rPr>
          <w:b/>
          <w:snapToGrid w:val="0"/>
          <w:sz w:val="22"/>
          <w:szCs w:val="22"/>
        </w:rPr>
      </w:pPr>
      <w:r w:rsidRPr="00085514">
        <w:rPr>
          <w:b/>
          <w:snapToGrid w:val="0"/>
          <w:sz w:val="22"/>
          <w:szCs w:val="22"/>
        </w:rPr>
        <w:t>VI.</w:t>
      </w:r>
    </w:p>
    <w:p w:rsidR="00ED6513" w:rsidRPr="00085514" w:rsidRDefault="00DD5A23" w:rsidP="005C362C">
      <w:pPr>
        <w:spacing w:before="120"/>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5C362C">
      <w:pPr>
        <w:spacing w:before="120"/>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Tato dohoda nabývá platnosti a účinnosti dnem jejího uzavření, anebo dnem uveřejnění v registru smluv podle tohoto článku. Dnem uzavření této dohody je den označený datem </w:t>
      </w:r>
      <w:r w:rsidRPr="00A905A6">
        <w:rPr>
          <w:snapToGrid w:val="0"/>
          <w:sz w:val="22"/>
          <w:szCs w:val="22"/>
        </w:rPr>
        <w:br/>
        <w:t>u podpisů smluvních stran. Je-li takto označeno více dní, je dnem uzavření této dohody den z označených dnů nejpozdější.</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5C362C">
      <w:pPr>
        <w:spacing w:before="120"/>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5C362C">
      <w:pPr>
        <w:spacing w:before="120"/>
        <w:ind w:firstLine="709"/>
        <w:jc w:val="both"/>
        <w:rPr>
          <w:snapToGrid w:val="0"/>
          <w:sz w:val="22"/>
          <w:szCs w:val="22"/>
        </w:rPr>
      </w:pPr>
      <w:r w:rsidRPr="00A905A6">
        <w:rPr>
          <w:snapToGrid w:val="0"/>
          <w:sz w:val="22"/>
          <w:szCs w:val="22"/>
        </w:rPr>
        <w:t>Nedílnou součástí této dohody jsou tyto její přílohy:</w:t>
      </w:r>
    </w:p>
    <w:p w:rsidR="00A905A6" w:rsidRPr="00CC7274" w:rsidRDefault="00A905A6" w:rsidP="005C362C">
      <w:pPr>
        <w:spacing w:before="60"/>
        <w:ind w:firstLine="709"/>
        <w:jc w:val="both"/>
        <w:rPr>
          <w:snapToGrid w:val="0"/>
          <w:sz w:val="22"/>
          <w:szCs w:val="22"/>
          <w:highlight w:val="green"/>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ze dne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w:t>
      </w:r>
      <w:r w:rsidR="00E4100E" w:rsidRPr="00170BAE">
        <w:rPr>
          <w:snapToGrid w:val="0"/>
          <w:sz w:val="22"/>
          <w:szCs w:val="22"/>
        </w:rPr>
        <w:t>- zplnomocnění Krajské správy a údržby silnic Středočeskéh</w:t>
      </w:r>
      <w:r w:rsidR="00234329">
        <w:rPr>
          <w:snapToGrid w:val="0"/>
          <w:sz w:val="22"/>
          <w:szCs w:val="22"/>
        </w:rPr>
        <w:t>o kraje, příspěvkové organizace.</w:t>
      </w:r>
    </w:p>
    <w:p w:rsidR="00A905A6" w:rsidRPr="00A905A6" w:rsidRDefault="00A905A6" w:rsidP="005C362C">
      <w:pPr>
        <w:spacing w:before="120"/>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5C362C">
      <w:pPr>
        <w:spacing w:before="120"/>
        <w:ind w:firstLine="709"/>
        <w:jc w:val="both"/>
        <w:rPr>
          <w:snapToGrid w:val="0"/>
          <w:sz w:val="22"/>
          <w:szCs w:val="22"/>
        </w:rPr>
      </w:pPr>
      <w:r w:rsidRPr="00A905A6">
        <w:rPr>
          <w:snapToGrid w:val="0"/>
          <w:sz w:val="22"/>
          <w:szCs w:val="22"/>
        </w:rPr>
        <w:t>Vlastník bere na vědomí, že investor je subjektem, jenž nese v určitých případech zákonnou povinnost</w:t>
      </w:r>
      <w:r w:rsidR="00B60981">
        <w:rPr>
          <w:snapToGrid w:val="0"/>
          <w:sz w:val="22"/>
          <w:szCs w:val="22"/>
        </w:rPr>
        <w:t xml:space="preserve">, </w:t>
      </w:r>
      <w:r w:rsidR="00B60981" w:rsidRPr="00B60981">
        <w:rPr>
          <w:snapToGrid w:val="0"/>
          <w:sz w:val="22"/>
          <w:szCs w:val="22"/>
        </w:rPr>
        <w:t xml:space="preserve">příp. též povinnost dle interních předpisů </w:t>
      </w:r>
      <w:r w:rsidR="00B60981">
        <w:rPr>
          <w:snapToGrid w:val="0"/>
          <w:sz w:val="22"/>
          <w:szCs w:val="22"/>
        </w:rPr>
        <w:t>investora,</w:t>
      </w:r>
      <w:r w:rsidRPr="00A905A6">
        <w:rPr>
          <w:snapToGrid w:val="0"/>
          <w:sz w:val="22"/>
          <w:szCs w:val="22"/>
        </w:rPr>
        <w:t xml:space="preserve"> uveřejňovat smlouvy v souladu se zákonem č. 340/2015 Sb., o zvláštních podmínkách účinnosti některých smluv, uveřejňování těchto smluv a o registru smluv (zákon o registru smluv), ve znění pozdějších předpisů (dále jen „</w:t>
      </w:r>
      <w:r w:rsidRPr="00A905A6">
        <w:rPr>
          <w:b/>
          <w:snapToGrid w:val="0"/>
          <w:sz w:val="22"/>
          <w:szCs w:val="22"/>
        </w:rPr>
        <w:t>zákon o registru smluv</w:t>
      </w:r>
      <w:r w:rsidRPr="00A905A6">
        <w:rPr>
          <w:snapToGrid w:val="0"/>
          <w:sz w:val="22"/>
          <w:szCs w:val="22"/>
        </w:rPr>
        <w:t xml:space="preserve">“), v registru smluv vedeném pro tyto účely Ministerstvem vnitra. </w:t>
      </w:r>
    </w:p>
    <w:p w:rsidR="00A905A6" w:rsidRPr="00A905A6" w:rsidRDefault="00A905A6" w:rsidP="005C362C">
      <w:pPr>
        <w:spacing w:before="120"/>
        <w:ind w:firstLine="709"/>
        <w:jc w:val="both"/>
        <w:rPr>
          <w:snapToGrid w:val="0"/>
          <w:sz w:val="22"/>
          <w:szCs w:val="22"/>
        </w:rPr>
      </w:pPr>
      <w:r w:rsidRPr="00A905A6">
        <w:rPr>
          <w:snapToGrid w:val="0"/>
          <w:sz w:val="22"/>
          <w:szCs w:val="22"/>
        </w:rPr>
        <w:t>Vlastník</w:t>
      </w:r>
      <w:r w:rsidRPr="00A905A6">
        <w:rPr>
          <w:b/>
          <w:snapToGrid w:val="0"/>
          <w:sz w:val="22"/>
          <w:szCs w:val="22"/>
        </w:rPr>
        <w:t xml:space="preserve"> </w:t>
      </w:r>
      <w:r w:rsidRPr="00A905A6">
        <w:rPr>
          <w:snapToGrid w:val="0"/>
          <w:sz w:val="22"/>
          <w:szCs w:val="22"/>
        </w:rPr>
        <w:t>souhlasí s uveřejněním této dohody v případě, kdy investor ponese, v souladu s uvedeným zákonem o registru smluv</w:t>
      </w:r>
      <w:r w:rsidR="00B60981">
        <w:rPr>
          <w:snapToGrid w:val="0"/>
          <w:sz w:val="22"/>
          <w:szCs w:val="22"/>
        </w:rPr>
        <w:t xml:space="preserve"> </w:t>
      </w:r>
      <w:r w:rsidR="00B60981" w:rsidRPr="00B60981">
        <w:rPr>
          <w:snapToGrid w:val="0"/>
          <w:sz w:val="22"/>
          <w:szCs w:val="22"/>
        </w:rPr>
        <w:t>či</w:t>
      </w:r>
      <w:r w:rsidR="00B60981">
        <w:rPr>
          <w:snapToGrid w:val="0"/>
          <w:sz w:val="22"/>
          <w:szCs w:val="22"/>
        </w:rPr>
        <w:t xml:space="preserve"> s interními předpisy investora</w:t>
      </w:r>
      <w:r w:rsidRPr="00A905A6">
        <w:rPr>
          <w:snapToGrid w:val="0"/>
          <w:sz w:val="22"/>
          <w:szCs w:val="22"/>
        </w:rPr>
        <w:t>, povinnost uveřejnění</w:t>
      </w:r>
      <w:r w:rsidR="00B60981">
        <w:rPr>
          <w:snapToGrid w:val="0"/>
          <w:sz w:val="22"/>
          <w:szCs w:val="22"/>
        </w:rPr>
        <w:t xml:space="preserve"> v </w:t>
      </w:r>
      <w:r w:rsidR="00B60981" w:rsidRPr="00B60981">
        <w:rPr>
          <w:snapToGrid w:val="0"/>
          <w:sz w:val="22"/>
          <w:szCs w:val="22"/>
        </w:rPr>
        <w:t>registru smluv</w:t>
      </w:r>
      <w:r w:rsidRPr="00A905A6">
        <w:rPr>
          <w:snapToGrid w:val="0"/>
          <w:sz w:val="22"/>
          <w:szCs w:val="22"/>
        </w:rPr>
        <w:t>, a to v rozsahu a způsobem z uvedeného zákona vyplývající</w:t>
      </w:r>
      <w:r w:rsidR="00B60981">
        <w:rPr>
          <w:snapToGrid w:val="0"/>
          <w:sz w:val="22"/>
          <w:szCs w:val="22"/>
        </w:rPr>
        <w:t>ch</w:t>
      </w:r>
      <w:r w:rsidRPr="00A905A6">
        <w:rPr>
          <w:snapToGrid w:val="0"/>
          <w:sz w:val="22"/>
          <w:szCs w:val="22"/>
        </w:rPr>
        <w:t>. V takovém případě zajistí uveřejnění této dohody v registru smluv investor a tato dohoda nabývá účinnosti dnem uveřejnění v registru smluv ve smyslu zákona o registru smluv.</w:t>
      </w:r>
    </w:p>
    <w:p w:rsidR="00A905A6" w:rsidRPr="00A905A6" w:rsidRDefault="00A905A6" w:rsidP="005C362C">
      <w:pPr>
        <w:spacing w:before="120"/>
        <w:ind w:firstLine="709"/>
        <w:jc w:val="both"/>
        <w:rPr>
          <w:snapToGrid w:val="0"/>
          <w:sz w:val="22"/>
          <w:szCs w:val="22"/>
        </w:rPr>
      </w:pPr>
      <w:r w:rsidRPr="00A905A6">
        <w:rPr>
          <w:snapToGrid w:val="0"/>
          <w:sz w:val="22"/>
          <w:szCs w:val="22"/>
        </w:rPr>
        <w:t>Smluvní strany se dohodly, že změny v obsahu této dohody lze činit pouze písemnou formou.</w:t>
      </w:r>
    </w:p>
    <w:p w:rsidR="007566D2" w:rsidRPr="00085514" w:rsidRDefault="007566D2" w:rsidP="005216E4">
      <w:pPr>
        <w:jc w:val="both"/>
        <w:rPr>
          <w:snapToGrid w:val="0"/>
          <w:sz w:val="22"/>
          <w:szCs w:val="22"/>
        </w:rPr>
      </w:pPr>
    </w:p>
    <w:p w:rsidR="007566D2" w:rsidRPr="00085514" w:rsidRDefault="00771409" w:rsidP="005216E4">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5216E4" w:rsidRPr="00085514" w:rsidRDefault="006B50AB" w:rsidP="007379FF">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proofErr w:type="gramStart"/>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w:t>
      </w:r>
      <w:proofErr w:type="gramEnd"/>
      <w:r w:rsidR="00D5436D" w:rsidRPr="00085514">
        <w:rPr>
          <w:snapToGrid w:val="0"/>
          <w:sz w:val="22"/>
          <w:szCs w:val="22"/>
        </w:rPr>
        <w:t xml:space="preserve"> ……</w:t>
      </w:r>
      <w:r w:rsidR="0061474A" w:rsidRPr="00085514">
        <w:rPr>
          <w:snapToGrid w:val="0"/>
          <w:sz w:val="22"/>
          <w:szCs w:val="22"/>
        </w:rPr>
        <w:t>….</w:t>
      </w:r>
      <w:r w:rsidR="00D5436D" w:rsidRPr="00085514">
        <w:rPr>
          <w:snapToGrid w:val="0"/>
          <w:sz w:val="22"/>
          <w:szCs w:val="22"/>
        </w:rPr>
        <w:t>………</w:t>
      </w:r>
    </w:p>
    <w:p w:rsidR="005216E4" w:rsidRPr="00085514" w:rsidRDefault="005216E4" w:rsidP="005216E4">
      <w:pPr>
        <w:jc w:val="both"/>
        <w:rPr>
          <w:snapToGrid w:val="0"/>
          <w:sz w:val="22"/>
          <w:szCs w:val="22"/>
        </w:rPr>
      </w:pPr>
    </w:p>
    <w:p w:rsidR="00DA567F" w:rsidRPr="00085514" w:rsidRDefault="00DA567F" w:rsidP="005216E4">
      <w:pPr>
        <w:jc w:val="both"/>
        <w:rPr>
          <w:snapToGrid w:val="0"/>
          <w:sz w:val="22"/>
          <w:szCs w:val="22"/>
        </w:rPr>
      </w:pPr>
    </w:p>
    <w:p w:rsidR="007379FF" w:rsidRPr="00085514" w:rsidRDefault="007379FF" w:rsidP="005216E4">
      <w:pPr>
        <w:jc w:val="both"/>
        <w:rPr>
          <w:snapToGrid w:val="0"/>
          <w:sz w:val="22"/>
          <w:szCs w:val="22"/>
        </w:rPr>
      </w:pPr>
    </w:p>
    <w:p w:rsidR="009E3709" w:rsidRDefault="005216E4" w:rsidP="009E3709">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7A191E" w:rsidP="005C362C">
      <w:pPr>
        <w:keepNext/>
        <w:tabs>
          <w:tab w:val="left" w:pos="4962"/>
        </w:tabs>
        <w:rPr>
          <w:snapToGrid w:val="0"/>
          <w:sz w:val="22"/>
          <w:szCs w:val="22"/>
        </w:rPr>
      </w:pPr>
      <w:r w:rsidRPr="007A191E">
        <w:rPr>
          <w:sz w:val="22"/>
          <w:szCs w:val="22"/>
        </w:rPr>
        <w:t xml:space="preserve">                           </w:t>
      </w:r>
      <w:r w:rsidR="00113EEF"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5C362C">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5C362C">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proofErr w:type="gramStart"/>
      <w:r w:rsidR="00A905A6">
        <w:rPr>
          <w:b/>
          <w:sz w:val="22"/>
          <w:szCs w:val="22"/>
        </w:rPr>
        <w:t>p.o</w:t>
      </w:r>
      <w:proofErr w:type="spellEnd"/>
      <w:r w:rsidR="00A905A6">
        <w:rPr>
          <w:b/>
          <w:sz w:val="22"/>
          <w:szCs w:val="22"/>
        </w:rPr>
        <w:t>.</w:t>
      </w:r>
      <w:proofErr w:type="gramEnd"/>
      <w:r w:rsidRPr="008C0FAF">
        <w:rPr>
          <w:b/>
          <w:sz w:val="22"/>
          <w:szCs w:val="22"/>
        </w:rPr>
        <w:t xml:space="preserve"> </w:t>
      </w:r>
    </w:p>
    <w:p w:rsidR="00BE675C" w:rsidRPr="009E3709" w:rsidRDefault="00DA567F" w:rsidP="007379FF">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00A07B4F">
        <w:rPr>
          <w:sz w:val="22"/>
          <w:szCs w:val="22"/>
        </w:rPr>
        <w:t>Ing. Al</w:t>
      </w:r>
      <w:bookmarkStart w:id="0" w:name="_GoBack"/>
      <w:bookmarkEnd w:id="0"/>
      <w:r w:rsidR="00A07B4F">
        <w:rPr>
          <w:sz w:val="22"/>
          <w:szCs w:val="22"/>
        </w:rPr>
        <w:t>eš Čermák, PhD. MBA, ředitel</w:t>
      </w:r>
    </w:p>
    <w:sectPr w:rsidR="00BE675C"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compat>
    <w:compatSetting w:name="compatibilityMode" w:uri="http://schemas.microsoft.com/office/word" w:val="12"/>
  </w:compat>
  <w:rsids>
    <w:rsidRoot w:val="0042381C"/>
    <w:rsid w:val="00001A50"/>
    <w:rsid w:val="00021D26"/>
    <w:rsid w:val="00036DD7"/>
    <w:rsid w:val="00053CA9"/>
    <w:rsid w:val="00065E6F"/>
    <w:rsid w:val="000820B5"/>
    <w:rsid w:val="00082BFE"/>
    <w:rsid w:val="00085514"/>
    <w:rsid w:val="00093B2B"/>
    <w:rsid w:val="00094035"/>
    <w:rsid w:val="000949DC"/>
    <w:rsid w:val="000A356F"/>
    <w:rsid w:val="000B3FAB"/>
    <w:rsid w:val="000B7CC4"/>
    <w:rsid w:val="000C2423"/>
    <w:rsid w:val="000D11C1"/>
    <w:rsid w:val="000D50ED"/>
    <w:rsid w:val="000E130C"/>
    <w:rsid w:val="00100F8B"/>
    <w:rsid w:val="0011014B"/>
    <w:rsid w:val="00113EEF"/>
    <w:rsid w:val="00121AC7"/>
    <w:rsid w:val="0013158C"/>
    <w:rsid w:val="00132DF6"/>
    <w:rsid w:val="001556F5"/>
    <w:rsid w:val="00170BAE"/>
    <w:rsid w:val="001816D1"/>
    <w:rsid w:val="00182385"/>
    <w:rsid w:val="001909B0"/>
    <w:rsid w:val="00196E8F"/>
    <w:rsid w:val="001A29B0"/>
    <w:rsid w:val="001A4A2E"/>
    <w:rsid w:val="001A7529"/>
    <w:rsid w:val="001B24BD"/>
    <w:rsid w:val="001C2135"/>
    <w:rsid w:val="001D3D8A"/>
    <w:rsid w:val="001D54C7"/>
    <w:rsid w:val="001E0C8B"/>
    <w:rsid w:val="001E1F19"/>
    <w:rsid w:val="001E3E93"/>
    <w:rsid w:val="001F1425"/>
    <w:rsid w:val="001F2C8F"/>
    <w:rsid w:val="001F773B"/>
    <w:rsid w:val="002054B2"/>
    <w:rsid w:val="00215768"/>
    <w:rsid w:val="00224C3B"/>
    <w:rsid w:val="00234329"/>
    <w:rsid w:val="00243A86"/>
    <w:rsid w:val="00261ACC"/>
    <w:rsid w:val="00265EB0"/>
    <w:rsid w:val="00270C0E"/>
    <w:rsid w:val="002769B2"/>
    <w:rsid w:val="0028082F"/>
    <w:rsid w:val="002878CC"/>
    <w:rsid w:val="002A15FA"/>
    <w:rsid w:val="002C10B2"/>
    <w:rsid w:val="002C1A92"/>
    <w:rsid w:val="002C7FCD"/>
    <w:rsid w:val="00302527"/>
    <w:rsid w:val="0030657F"/>
    <w:rsid w:val="00306AA1"/>
    <w:rsid w:val="00341D17"/>
    <w:rsid w:val="00344137"/>
    <w:rsid w:val="00354A8B"/>
    <w:rsid w:val="0037057B"/>
    <w:rsid w:val="003C5BF7"/>
    <w:rsid w:val="003D4760"/>
    <w:rsid w:val="004159A3"/>
    <w:rsid w:val="00416779"/>
    <w:rsid w:val="004200EA"/>
    <w:rsid w:val="0042381C"/>
    <w:rsid w:val="00424EE0"/>
    <w:rsid w:val="00427BCB"/>
    <w:rsid w:val="004310BB"/>
    <w:rsid w:val="004327E9"/>
    <w:rsid w:val="00436A21"/>
    <w:rsid w:val="0046363D"/>
    <w:rsid w:val="0049082A"/>
    <w:rsid w:val="004A2E0C"/>
    <w:rsid w:val="004A4355"/>
    <w:rsid w:val="004B0E8D"/>
    <w:rsid w:val="004B7511"/>
    <w:rsid w:val="004C0080"/>
    <w:rsid w:val="004C4C89"/>
    <w:rsid w:val="004E0725"/>
    <w:rsid w:val="004E3125"/>
    <w:rsid w:val="004E6ABA"/>
    <w:rsid w:val="004E7B93"/>
    <w:rsid w:val="004F711B"/>
    <w:rsid w:val="00516924"/>
    <w:rsid w:val="005216E4"/>
    <w:rsid w:val="005420EB"/>
    <w:rsid w:val="00570251"/>
    <w:rsid w:val="00577A9F"/>
    <w:rsid w:val="00581284"/>
    <w:rsid w:val="005829E2"/>
    <w:rsid w:val="00584847"/>
    <w:rsid w:val="00585349"/>
    <w:rsid w:val="005A6D70"/>
    <w:rsid w:val="005C362C"/>
    <w:rsid w:val="005C4CC2"/>
    <w:rsid w:val="005C61EF"/>
    <w:rsid w:val="005D0725"/>
    <w:rsid w:val="005D0770"/>
    <w:rsid w:val="005D25FB"/>
    <w:rsid w:val="005E1408"/>
    <w:rsid w:val="005E5A8D"/>
    <w:rsid w:val="005F3C7B"/>
    <w:rsid w:val="006007F3"/>
    <w:rsid w:val="006079C8"/>
    <w:rsid w:val="0061474A"/>
    <w:rsid w:val="00621840"/>
    <w:rsid w:val="0062681C"/>
    <w:rsid w:val="00644D3C"/>
    <w:rsid w:val="00645D1B"/>
    <w:rsid w:val="00646971"/>
    <w:rsid w:val="00654DC9"/>
    <w:rsid w:val="00657FB7"/>
    <w:rsid w:val="006715A3"/>
    <w:rsid w:val="0067256E"/>
    <w:rsid w:val="006857AB"/>
    <w:rsid w:val="00685994"/>
    <w:rsid w:val="006978B8"/>
    <w:rsid w:val="006B50AB"/>
    <w:rsid w:val="006D43ED"/>
    <w:rsid w:val="006F0E53"/>
    <w:rsid w:val="006F4E24"/>
    <w:rsid w:val="00716BEA"/>
    <w:rsid w:val="007379FF"/>
    <w:rsid w:val="0075077E"/>
    <w:rsid w:val="00751D56"/>
    <w:rsid w:val="007566D2"/>
    <w:rsid w:val="00761B73"/>
    <w:rsid w:val="00771409"/>
    <w:rsid w:val="00782398"/>
    <w:rsid w:val="007979D2"/>
    <w:rsid w:val="007A191E"/>
    <w:rsid w:val="007A293F"/>
    <w:rsid w:val="007A6B6B"/>
    <w:rsid w:val="007B11A0"/>
    <w:rsid w:val="007B21B4"/>
    <w:rsid w:val="007B3AC2"/>
    <w:rsid w:val="007C3AD3"/>
    <w:rsid w:val="007C41EA"/>
    <w:rsid w:val="007D3273"/>
    <w:rsid w:val="007F2A1D"/>
    <w:rsid w:val="00804072"/>
    <w:rsid w:val="008171A9"/>
    <w:rsid w:val="00820357"/>
    <w:rsid w:val="00824F8A"/>
    <w:rsid w:val="008255CF"/>
    <w:rsid w:val="00837E53"/>
    <w:rsid w:val="0084759C"/>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F5298"/>
    <w:rsid w:val="008F5DCA"/>
    <w:rsid w:val="008F5FFA"/>
    <w:rsid w:val="009111D0"/>
    <w:rsid w:val="009412E9"/>
    <w:rsid w:val="00956CD3"/>
    <w:rsid w:val="00964609"/>
    <w:rsid w:val="009670FE"/>
    <w:rsid w:val="009731DD"/>
    <w:rsid w:val="009766D1"/>
    <w:rsid w:val="00977CB5"/>
    <w:rsid w:val="00991881"/>
    <w:rsid w:val="00992081"/>
    <w:rsid w:val="009A5F66"/>
    <w:rsid w:val="009C088F"/>
    <w:rsid w:val="009C4359"/>
    <w:rsid w:val="009C49A8"/>
    <w:rsid w:val="009C72B0"/>
    <w:rsid w:val="009D3246"/>
    <w:rsid w:val="009E3709"/>
    <w:rsid w:val="009E6C95"/>
    <w:rsid w:val="00A03113"/>
    <w:rsid w:val="00A03BD9"/>
    <w:rsid w:val="00A07B4F"/>
    <w:rsid w:val="00A162CB"/>
    <w:rsid w:val="00A167D2"/>
    <w:rsid w:val="00A21892"/>
    <w:rsid w:val="00A40BB2"/>
    <w:rsid w:val="00A42E0A"/>
    <w:rsid w:val="00A445DF"/>
    <w:rsid w:val="00A535FC"/>
    <w:rsid w:val="00A56831"/>
    <w:rsid w:val="00A70E28"/>
    <w:rsid w:val="00A84FA1"/>
    <w:rsid w:val="00A905A6"/>
    <w:rsid w:val="00AA1DBB"/>
    <w:rsid w:val="00AD1866"/>
    <w:rsid w:val="00AE6784"/>
    <w:rsid w:val="00AE7B61"/>
    <w:rsid w:val="00AF1EF7"/>
    <w:rsid w:val="00AF343B"/>
    <w:rsid w:val="00AF6967"/>
    <w:rsid w:val="00B00DA2"/>
    <w:rsid w:val="00B02978"/>
    <w:rsid w:val="00B209F4"/>
    <w:rsid w:val="00B42CB4"/>
    <w:rsid w:val="00B51999"/>
    <w:rsid w:val="00B60981"/>
    <w:rsid w:val="00B60EB7"/>
    <w:rsid w:val="00B665AD"/>
    <w:rsid w:val="00B66987"/>
    <w:rsid w:val="00B75CE5"/>
    <w:rsid w:val="00B830A4"/>
    <w:rsid w:val="00B849E2"/>
    <w:rsid w:val="00B859C1"/>
    <w:rsid w:val="00BA54A2"/>
    <w:rsid w:val="00BB5C2E"/>
    <w:rsid w:val="00BC7CC9"/>
    <w:rsid w:val="00BD4E27"/>
    <w:rsid w:val="00BE675C"/>
    <w:rsid w:val="00BF4ED8"/>
    <w:rsid w:val="00C1095C"/>
    <w:rsid w:val="00C139A8"/>
    <w:rsid w:val="00C15227"/>
    <w:rsid w:val="00C158FD"/>
    <w:rsid w:val="00C22FFB"/>
    <w:rsid w:val="00C50F8A"/>
    <w:rsid w:val="00C6025A"/>
    <w:rsid w:val="00C71154"/>
    <w:rsid w:val="00C7329D"/>
    <w:rsid w:val="00C75C00"/>
    <w:rsid w:val="00C92C52"/>
    <w:rsid w:val="00C92D48"/>
    <w:rsid w:val="00C95B30"/>
    <w:rsid w:val="00CB3A9F"/>
    <w:rsid w:val="00CC7274"/>
    <w:rsid w:val="00CE2646"/>
    <w:rsid w:val="00D105F3"/>
    <w:rsid w:val="00D17607"/>
    <w:rsid w:val="00D35303"/>
    <w:rsid w:val="00D475E8"/>
    <w:rsid w:val="00D50B5C"/>
    <w:rsid w:val="00D5436D"/>
    <w:rsid w:val="00D76317"/>
    <w:rsid w:val="00D8708B"/>
    <w:rsid w:val="00DA567F"/>
    <w:rsid w:val="00DB0A37"/>
    <w:rsid w:val="00DB374D"/>
    <w:rsid w:val="00DC640A"/>
    <w:rsid w:val="00DC6ADA"/>
    <w:rsid w:val="00DD1C52"/>
    <w:rsid w:val="00DD566E"/>
    <w:rsid w:val="00DD5A23"/>
    <w:rsid w:val="00DE739E"/>
    <w:rsid w:val="00DF4623"/>
    <w:rsid w:val="00E167E5"/>
    <w:rsid w:val="00E2044C"/>
    <w:rsid w:val="00E216DD"/>
    <w:rsid w:val="00E22A88"/>
    <w:rsid w:val="00E2448E"/>
    <w:rsid w:val="00E4100E"/>
    <w:rsid w:val="00E4351C"/>
    <w:rsid w:val="00E74B6F"/>
    <w:rsid w:val="00E77EF2"/>
    <w:rsid w:val="00E822D1"/>
    <w:rsid w:val="00E83266"/>
    <w:rsid w:val="00E9077A"/>
    <w:rsid w:val="00EB0582"/>
    <w:rsid w:val="00EB7B56"/>
    <w:rsid w:val="00EC424B"/>
    <w:rsid w:val="00ED0D84"/>
    <w:rsid w:val="00EE114A"/>
    <w:rsid w:val="00F01C7A"/>
    <w:rsid w:val="00F02529"/>
    <w:rsid w:val="00F03B34"/>
    <w:rsid w:val="00F13EE9"/>
    <w:rsid w:val="00F23ED4"/>
    <w:rsid w:val="00F31751"/>
    <w:rsid w:val="00F31F2E"/>
    <w:rsid w:val="00F33163"/>
    <w:rsid w:val="00F40E29"/>
    <w:rsid w:val="00F42512"/>
    <w:rsid w:val="00F75FD7"/>
    <w:rsid w:val="00F80734"/>
    <w:rsid w:val="00F9084A"/>
    <w:rsid w:val="00FA3BFE"/>
    <w:rsid w:val="00FB133B"/>
    <w:rsid w:val="00FB1455"/>
    <w:rsid w:val="00FB6BBF"/>
    <w:rsid w:val="00FC3F5C"/>
    <w:rsid w:val="00FD5AEC"/>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5C202F5-94E3-4286-8053-5F2549D14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CF8AF-64D5-4D63-BBBC-EA02AA06F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1293</Words>
  <Characters>7634</Characters>
  <Application>Microsoft Office Word</Application>
  <DocSecurity>0</DocSecurity>
  <Lines>63</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8910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Krkošková Lenka</cp:lastModifiedBy>
  <cp:revision>5</cp:revision>
  <cp:lastPrinted>2016-05-11T12:54:00Z</cp:lastPrinted>
  <dcterms:created xsi:type="dcterms:W3CDTF">2022-06-05T12:11:00Z</dcterms:created>
  <dcterms:modified xsi:type="dcterms:W3CDTF">2022-07-19T07:32:00Z</dcterms:modified>
</cp:coreProperties>
</file>